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Kim Echeverri, Priscilla Gray, Crystal Martinez, Gina Hausmann, Janet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Malan, Lisa Molaro, Linda Mau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7:02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Priscilla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Janet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 November 9 &amp; 10, 2019 Lucie Stern Community Center, Palo Alto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GM, December 3, 2019, 7 pm Maggiano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Linda to generate a list of studios in the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Montalvo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Blossom Hill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DeAnza College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Foothill College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San Jose City College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Halo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Higher Fire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Sunnyvale Parks and Rec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Los Gatos Rec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Palo Alto Art Center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Cupertino Parks and Rec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Willow Glen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Santa Clara Parks and Rec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CooperGarrod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Look into alternative locations for another sale ie. Allied Arts (Palo Alto), Gamble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Gardens (Palo Alto), Empty Bowl as a benefit for another organization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Linda will check on the Succulent Sale and Bonzai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send out information for updating your profile in Muddy Hands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$60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Hostway </w:t>
      </w:r>
      <w:r>
        <w:rPr>
          <w:sz w:val="24"/>
          <w:szCs w:val="24"/>
          <w:rtl w:val="0"/>
          <w:lang w:val="en-US"/>
        </w:rPr>
        <w:t>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Storage $1828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Transfered to PayPal to checking $500.14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Checking: </w:t>
      </w:r>
      <w:r>
        <w:rPr>
          <w:sz w:val="24"/>
          <w:szCs w:val="24"/>
          <w:rtl w:val="0"/>
          <w:lang w:val="en-US"/>
        </w:rPr>
        <w:t>$12,759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 $908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152 active members, (4 new members) 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- tips and tricks for selling your pieces.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Check on when videos will be up on YouTube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look into a tour of Heath Ceramics as a group activity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Social at the end of business on Saturday, pizza and refreshments will be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served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jobs have been resent, jobs will be posted on the Table Tents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- 59 artists, sale is full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change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"mailto:exhibits@ovcag.org"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exhibits@ovcag.org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to go to Marilyn Host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Priscilla and Kim will meet with Adam Shiverdecker to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discuss the possibility of partnering with a Grad student to run a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community art project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9:06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 xml:space="preserve">November 5, </w:t>
    </w:r>
    <w:r>
      <w:rPr>
        <w:b w:val="1"/>
        <w:bCs w:val="1"/>
        <w:rtl w:val="0"/>
        <w:lang w:val="en-US"/>
      </w:rPr>
      <w:t>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